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2D65" w14:textId="26928295" w:rsidR="004F0F50" w:rsidRPr="008D7D06" w:rsidRDefault="00BD6158" w:rsidP="00306B07">
      <w:pPr>
        <w:spacing w:after="0" w:line="240" w:lineRule="auto"/>
        <w:jc w:val="center"/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</w:pPr>
      <w:r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 xml:space="preserve">tentative timetable for THE </w:t>
      </w:r>
      <w:r w:rsidR="00117B45">
        <w:rPr>
          <w:rFonts w:ascii="Times New Roman" w:eastAsiaTheme="minorEastAsia" w:hAnsi="Times New Roman" w:hint="eastAsia"/>
          <w:b/>
          <w:bCs/>
          <w:caps/>
          <w:sz w:val="24"/>
          <w:szCs w:val="24"/>
          <w:lang w:val="en-US"/>
        </w:rPr>
        <w:t>5</w:t>
      </w:r>
      <w:r w:rsidR="00FF6505">
        <w:rPr>
          <w:rFonts w:ascii="Times New Roman" w:eastAsiaTheme="minorEastAsia" w:hAnsi="Times New Roman"/>
          <w:b/>
          <w:bCs/>
          <w:caps/>
          <w:sz w:val="24"/>
          <w:szCs w:val="24"/>
          <w:lang w:val="en-US"/>
        </w:rPr>
        <w:t>3</w:t>
      </w:r>
      <w:r w:rsidR="00FF6505" w:rsidRPr="00FF6505">
        <w:rPr>
          <w:rFonts w:ascii="Times New Roman" w:eastAsiaTheme="minorEastAsia" w:hAnsi="Times New Roman"/>
          <w:b/>
          <w:bCs/>
          <w:caps/>
          <w:sz w:val="24"/>
          <w:szCs w:val="24"/>
          <w:vertAlign w:val="superscript"/>
          <w:lang w:val="en-US"/>
        </w:rPr>
        <w:t>rd</w:t>
      </w:r>
      <w:r w:rsidR="00FF6505">
        <w:rPr>
          <w:rFonts w:ascii="Times New Roman" w:eastAsiaTheme="minorEastAsia" w:hAnsi="Times New Roman"/>
          <w:b/>
          <w:bCs/>
          <w:caps/>
          <w:sz w:val="24"/>
          <w:szCs w:val="24"/>
          <w:lang w:val="en-US"/>
        </w:rPr>
        <w:t xml:space="preserve"> </w:t>
      </w:r>
      <w:r w:rsidR="004F0F50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session of the UPR Working group</w:t>
      </w:r>
      <w:r w:rsidR="00CF0137" w:rsidRPr="008D7D06">
        <w:rPr>
          <w:rStyle w:val="FootnoteReference"/>
          <w:rFonts w:ascii="Times New Roman" w:eastAsia="SimSun" w:hAnsi="Times New Roman"/>
          <w:b/>
          <w:bCs/>
          <w:caps/>
          <w:sz w:val="24"/>
          <w:szCs w:val="24"/>
          <w:vertAlign w:val="baseline"/>
          <w:lang w:val="en-US" w:eastAsia="zh-CN"/>
        </w:rPr>
        <w:footnoteReference w:customMarkFollows="1" w:id="1"/>
        <w:t>*</w:t>
      </w:r>
    </w:p>
    <w:p w14:paraId="35496A83" w14:textId="684DF71F" w:rsidR="004F0F50" w:rsidRPr="008D7D06" w:rsidRDefault="00BD6158" w:rsidP="008D7D06">
      <w:pPr>
        <w:spacing w:after="120" w:line="240" w:lineRule="auto"/>
        <w:jc w:val="center"/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</w:pPr>
      <w:r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(</w:t>
      </w:r>
      <w:r w:rsidR="00FF6505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2</w:t>
      </w:r>
      <w:r w:rsidR="00BF2AF6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–</w:t>
      </w:r>
      <w:r w:rsidR="0001076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1</w:t>
      </w:r>
      <w:r w:rsidR="00FF6505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3</w:t>
      </w:r>
      <w:r w:rsidR="008B3164">
        <w:rPr>
          <w:rFonts w:ascii="Times New Roman" w:eastAsiaTheme="minorEastAsia" w:hAnsi="Times New Roman" w:hint="eastAsia"/>
          <w:b/>
          <w:bCs/>
          <w:caps/>
          <w:sz w:val="24"/>
          <w:szCs w:val="24"/>
          <w:lang w:val="en-US"/>
        </w:rPr>
        <w:t xml:space="preserve"> </w:t>
      </w:r>
      <w:r w:rsidR="00FF6505">
        <w:rPr>
          <w:rFonts w:ascii="Times New Roman" w:eastAsiaTheme="minorEastAsia" w:hAnsi="Times New Roman"/>
          <w:b/>
          <w:bCs/>
          <w:caps/>
          <w:sz w:val="24"/>
          <w:szCs w:val="24"/>
          <w:lang w:val="en-US"/>
        </w:rPr>
        <w:t>November</w:t>
      </w:r>
      <w:r w:rsidR="008B3164">
        <w:rPr>
          <w:rFonts w:ascii="Times New Roman" w:eastAsiaTheme="minorEastAsia" w:hAnsi="Times New Roman"/>
          <w:b/>
          <w:bCs/>
          <w:caps/>
          <w:sz w:val="24"/>
          <w:szCs w:val="24"/>
          <w:lang w:val="en-US"/>
        </w:rPr>
        <w:t xml:space="preserve"> 2026</w:t>
      </w:r>
      <w:r w:rsidR="004F0F50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)</w:t>
      </w:r>
    </w:p>
    <w:p w14:paraId="5C87EFF1" w14:textId="77777777" w:rsidR="004F0F50" w:rsidRPr="004F0F50" w:rsidRDefault="004F0F50" w:rsidP="00480118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</w:pPr>
      <w:r w:rsidRPr="004F0F50"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  <w:t>First week</w:t>
      </w:r>
    </w:p>
    <w:tbl>
      <w:tblPr>
        <w:tblW w:w="16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2116"/>
        <w:gridCol w:w="709"/>
        <w:gridCol w:w="2126"/>
        <w:gridCol w:w="709"/>
        <w:gridCol w:w="2126"/>
        <w:gridCol w:w="719"/>
        <w:gridCol w:w="2258"/>
        <w:gridCol w:w="719"/>
        <w:gridCol w:w="2825"/>
      </w:tblGrid>
      <w:tr w:rsidR="00055508" w14:paraId="764D1302" w14:textId="77777777" w:rsidTr="00C81F05">
        <w:trPr>
          <w:trHeight w:hRule="exact" w:val="284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60CCDE9" w14:textId="77777777" w:rsidR="0047239F" w:rsidRDefault="0047239F"/>
        </w:tc>
        <w:tc>
          <w:tcPr>
            <w:tcW w:w="2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144449ED" w14:textId="62A839D9" w:rsidR="0047239F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Monday </w:t>
            </w:r>
            <w:r w:rsidR="00FF6505">
              <w:rPr>
                <w:rFonts w:ascii="Times New Roman" w:hAnsi="Times New Roman"/>
                <w:b/>
              </w:rPr>
              <w:t>2 November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1AD4BA41" w14:textId="3B8E859B" w:rsidR="0047239F" w:rsidRPr="00A75613" w:rsidRDefault="005303CE" w:rsidP="000C597F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Tuesday</w:t>
            </w:r>
            <w:r w:rsidR="006077D0">
              <w:rPr>
                <w:rFonts w:ascii="Times New Roman" w:hAnsi="Times New Roman"/>
                <w:b/>
              </w:rPr>
              <w:t xml:space="preserve"> </w:t>
            </w:r>
            <w:r w:rsidR="00A75613">
              <w:rPr>
                <w:rFonts w:ascii="Times New Roman" w:hAnsi="Times New Roman" w:hint="eastAsia"/>
                <w:b/>
              </w:rPr>
              <w:t>3 November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6DFA0915" w14:textId="30817F1F" w:rsidR="0047239F" w:rsidRPr="002C3113" w:rsidRDefault="005303CE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Wednesday </w:t>
            </w:r>
            <w:r w:rsidR="00A75613">
              <w:rPr>
                <w:rFonts w:ascii="Times New Roman" w:hAnsi="Times New Roman"/>
                <w:b/>
              </w:rPr>
              <w:t>4 November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2C3B50AF" w14:textId="5525DB50" w:rsidR="0047239F" w:rsidRPr="002C3113" w:rsidRDefault="005303CE" w:rsidP="000C597F">
            <w:pPr>
              <w:tabs>
                <w:tab w:val="left" w:pos="14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Thursday </w:t>
            </w:r>
            <w:r w:rsidR="00A75613">
              <w:rPr>
                <w:rFonts w:ascii="Times New Roman" w:hAnsi="Times New Roman"/>
                <w:b/>
              </w:rPr>
              <w:t>5 November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7A930C55" w14:textId="1EE53500" w:rsidR="0047239F" w:rsidRPr="002C3113" w:rsidRDefault="005303CE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Friday </w:t>
            </w:r>
            <w:r w:rsidR="00A75613">
              <w:rPr>
                <w:rFonts w:ascii="Times New Roman" w:hAnsi="Times New Roman"/>
                <w:b/>
              </w:rPr>
              <w:t>6 November</w:t>
            </w:r>
          </w:p>
        </w:tc>
      </w:tr>
      <w:tr w:rsidR="00485335" w14:paraId="1164B87B" w14:textId="77777777" w:rsidTr="009D364A">
        <w:trPr>
          <w:trHeight w:val="869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5DF36EE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b/>
              </w:rPr>
            </w:pPr>
            <w:r w:rsidRPr="002C3113">
              <w:rPr>
                <w:rFonts w:ascii="Times New Roman" w:hAnsi="Times New Roman"/>
                <w:b/>
              </w:rPr>
              <w:t>1</w:t>
            </w:r>
            <w:r w:rsidRPr="002C3113">
              <w:rPr>
                <w:rFonts w:ascii="Times New Roman" w:hAnsi="Times New Roman"/>
                <w:b/>
                <w:vertAlign w:val="superscript"/>
              </w:rPr>
              <w:t>st</w:t>
            </w:r>
            <w:r w:rsidRPr="002C3113">
              <w:rPr>
                <w:rFonts w:ascii="Times New Roman" w:hAnsi="Times New Roman"/>
                <w:b/>
              </w:rPr>
              <w:t xml:space="preserve"> week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4AFE08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1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00743D" w14:textId="59C2A400" w:rsidR="00485335" w:rsidRPr="000E4654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E4654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0E465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1" w:history="1">
              <w:r w:rsidR="00A75613" w:rsidRPr="009D364A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  <w:lang w:val="en-US"/>
                </w:rPr>
                <w:t>Suriname</w:t>
              </w:r>
            </w:hyperlink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782140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654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A06CF8" w14:textId="0B3414B4" w:rsidR="00485335" w:rsidRPr="00E46C76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E4654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0E465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2" w:history="1">
              <w:r w:rsidR="00E46C76" w:rsidRPr="009D364A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Samoa</w:t>
              </w:r>
            </w:hyperlink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811BF8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654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1AC393" w14:textId="096240E2" w:rsidR="00485335" w:rsidRPr="000E4654" w:rsidRDefault="00485335" w:rsidP="000B7EE9">
            <w:pPr>
              <w:spacing w:before="12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4654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0E465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3" w:history="1">
              <w:r w:rsidR="00E46C76" w:rsidRPr="009D364A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Hungary</w:t>
              </w:r>
            </w:hyperlink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CDA703" w14:textId="77777777" w:rsidR="00485335" w:rsidRPr="00B40C28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28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8CD1F0" w14:textId="46D40091" w:rsidR="00485335" w:rsidRPr="00E46C76" w:rsidRDefault="00485335" w:rsidP="0048533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4" w:history="1">
              <w:r w:rsidR="00E46C76" w:rsidRPr="009D364A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Tajikistan</w:t>
              </w:r>
            </w:hyperlink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5ED8B3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AC41CA" w14:textId="6F824B0C" w:rsidR="00485335" w:rsidRPr="00E46C76" w:rsidRDefault="00485335" w:rsidP="0048533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5" w:history="1">
              <w:r w:rsidR="00E46C76" w:rsidRPr="009D364A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Antigua and Barbuda</w:t>
              </w:r>
            </w:hyperlink>
          </w:p>
        </w:tc>
      </w:tr>
      <w:tr w:rsidR="00485335" w14:paraId="3B25C456" w14:textId="77777777" w:rsidTr="009D364A">
        <w:trPr>
          <w:trHeight w:val="848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ED10952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5F3D79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604A7" w14:textId="77777777" w:rsidR="00485335" w:rsidRPr="000E4654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BAD4F43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699F3" w14:textId="77777777" w:rsidR="00485335" w:rsidRPr="000E4654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80CEC99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DD83F3" w14:textId="77777777" w:rsidR="00485335" w:rsidRPr="000E4654" w:rsidRDefault="00485335" w:rsidP="000B7EE9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1BB700" w14:textId="77777777" w:rsidR="00485335" w:rsidRPr="00B40C28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485DE7" w14:textId="6E19897D" w:rsidR="00485335" w:rsidRPr="002C3113" w:rsidRDefault="00485335" w:rsidP="00C21DD1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909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E46C76">
              <w:rPr>
                <w:rFonts w:ascii="Times New Roman" w:hAnsi="Times New Roman"/>
                <w:i/>
                <w:sz w:val="18"/>
                <w:szCs w:val="18"/>
              </w:rPr>
              <w:t>Greece</w:t>
            </w:r>
          </w:p>
        </w:tc>
        <w:tc>
          <w:tcPr>
            <w:tcW w:w="7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475E21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2F175" w14:textId="527FCBA5" w:rsidR="00485335" w:rsidRPr="002C3113" w:rsidRDefault="00485335" w:rsidP="001F2F9D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>Distribution of the report</w:t>
            </w:r>
            <w:r w:rsidR="00E46C7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on </w:t>
            </w:r>
            <w:r w:rsidR="00E46C76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D80424">
              <w:rPr>
                <w:rFonts w:ascii="Times New Roman" w:hAnsi="Times New Roman"/>
                <w:i/>
                <w:sz w:val="18"/>
                <w:szCs w:val="18"/>
              </w:rPr>
              <w:t>Saint</w:t>
            </w:r>
            <w:r w:rsidR="00E46C76">
              <w:rPr>
                <w:rFonts w:ascii="Times New Roman" w:hAnsi="Times New Roman"/>
                <w:i/>
                <w:sz w:val="18"/>
                <w:szCs w:val="18"/>
              </w:rPr>
              <w:t xml:space="preserve"> Vincent and the Grenadines</w:t>
            </w:r>
          </w:p>
        </w:tc>
      </w:tr>
      <w:tr w:rsidR="00485335" w14:paraId="4A998DD0" w14:textId="77777777" w:rsidTr="009D364A">
        <w:trPr>
          <w:trHeight w:val="1106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</w:tcPr>
          <w:p w14:paraId="0C4BD57C" w14:textId="77777777" w:rsidR="00485335" w:rsidRPr="002C3113" w:rsidRDefault="0048533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4499C56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1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FF621D" w14:textId="58A05282" w:rsidR="00485335" w:rsidRPr="000E4654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654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0E465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6" w:history="1">
              <w:r w:rsidR="00A75613" w:rsidRPr="009D364A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Greece</w:t>
              </w:r>
            </w:hyperlink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E63C854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654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091788" w14:textId="28243546" w:rsidR="00485335" w:rsidRPr="000E4654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654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0E465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7" w:history="1">
              <w:r w:rsidR="00E46C76" w:rsidRPr="009D364A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Saint Vincent and the Grenadines</w:t>
              </w:r>
            </w:hyperlink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D88E28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654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D24E86" w14:textId="456E2B73" w:rsidR="00485335" w:rsidRPr="00E46C76" w:rsidRDefault="00485335" w:rsidP="00361E9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654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0E465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8" w:history="1">
              <w:r w:rsidR="00E46C76" w:rsidRPr="009D364A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Papua New Guinea</w:t>
              </w:r>
            </w:hyperlink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1B5B25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848D02" w14:textId="50CD9750" w:rsidR="00485335" w:rsidRPr="00E46C76" w:rsidRDefault="00485335" w:rsidP="00361E9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="00E46C76">
              <w:rPr>
                <w:rFonts w:ascii="Times New Roman" w:hAnsi="Times New Roman"/>
                <w:b/>
                <w:sz w:val="20"/>
                <w:szCs w:val="20"/>
              </w:rPr>
              <w:t>the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9" w:history="1">
              <w:r w:rsidR="00E46C76" w:rsidRPr="009D364A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United Republic of Tanzania</w:t>
              </w:r>
            </w:hyperlink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122553B" w14:textId="22B68074" w:rsidR="00485335" w:rsidRPr="002C3113" w:rsidRDefault="00485335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18:00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D2C6132" w14:textId="64A83A8D" w:rsidR="00485335" w:rsidRPr="00E46C76" w:rsidRDefault="00485335" w:rsidP="0048533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485335" w14:paraId="054B0FB3" w14:textId="77777777" w:rsidTr="0043726F">
        <w:trPr>
          <w:trHeight w:val="833"/>
        </w:trPr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5E9D4F03" w14:textId="77777777" w:rsidR="00485335" w:rsidRPr="002C3113" w:rsidRDefault="0048533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3ED052C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C5614" w14:textId="77777777" w:rsidR="00485335" w:rsidRPr="002C3113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AF2916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81972" w14:textId="77777777" w:rsidR="00485335" w:rsidRPr="002C3113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84E5FC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7B788" w14:textId="3B5D6363" w:rsidR="00485335" w:rsidRPr="002C3113" w:rsidRDefault="00485335" w:rsidP="00F4612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909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E46C76">
              <w:rPr>
                <w:rFonts w:ascii="Times New Roman" w:hAnsi="Times New Roman"/>
                <w:i/>
                <w:sz w:val="18"/>
                <w:szCs w:val="18"/>
              </w:rPr>
              <w:t>Suriname</w:t>
            </w:r>
          </w:p>
        </w:tc>
        <w:tc>
          <w:tcPr>
            <w:tcW w:w="7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C8C516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D86F5" w14:textId="399858ED" w:rsidR="00485335" w:rsidRPr="002C3113" w:rsidRDefault="00485335" w:rsidP="00F4612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909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E46C76">
              <w:rPr>
                <w:rFonts w:ascii="Times New Roman" w:hAnsi="Times New Roman"/>
                <w:i/>
                <w:sz w:val="18"/>
                <w:szCs w:val="18"/>
              </w:rPr>
              <w:t>Samoa</w:t>
            </w:r>
          </w:p>
        </w:tc>
        <w:tc>
          <w:tcPr>
            <w:tcW w:w="7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6F0DB1" w14:textId="77777777" w:rsidR="00485335" w:rsidRPr="002C3113" w:rsidRDefault="00485335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6D0AFB" w14:textId="5AB87C7E" w:rsidR="00485335" w:rsidRPr="002C3113" w:rsidRDefault="00485335" w:rsidP="00F46121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1E97">
              <w:rPr>
                <w:rFonts w:ascii="Times New Roman" w:hAnsi="Times New Roman"/>
                <w:i/>
                <w:sz w:val="18"/>
                <w:szCs w:val="18"/>
              </w:rPr>
              <w:t>Distribution of the report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361E97">
              <w:rPr>
                <w:rFonts w:ascii="Times New Roman" w:hAnsi="Times New Roman"/>
                <w:i/>
                <w:sz w:val="18"/>
                <w:szCs w:val="18"/>
              </w:rPr>
              <w:t xml:space="preserve">on </w:t>
            </w:r>
            <w:r w:rsidR="00E46C76">
              <w:rPr>
                <w:rFonts w:ascii="Times New Roman" w:hAnsi="Times New Roman"/>
                <w:i/>
                <w:sz w:val="18"/>
                <w:szCs w:val="18"/>
              </w:rPr>
              <w:t>Hungary</w:t>
            </w:r>
          </w:p>
        </w:tc>
      </w:tr>
    </w:tbl>
    <w:p w14:paraId="618B315B" w14:textId="77777777" w:rsidR="007F6709" w:rsidRPr="007F6709" w:rsidRDefault="007F6709" w:rsidP="00723224">
      <w:pPr>
        <w:spacing w:before="120" w:after="0" w:line="240" w:lineRule="auto"/>
        <w:jc w:val="center"/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</w:pPr>
      <w:r w:rsidRPr="007F6709"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  <w:t>Second week</w:t>
      </w:r>
    </w:p>
    <w:tbl>
      <w:tblPr>
        <w:tblW w:w="16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45"/>
        <w:gridCol w:w="2080"/>
        <w:gridCol w:w="719"/>
        <w:gridCol w:w="2116"/>
        <w:gridCol w:w="709"/>
        <w:gridCol w:w="1995"/>
        <w:gridCol w:w="698"/>
        <w:gridCol w:w="2127"/>
        <w:gridCol w:w="718"/>
        <w:gridCol w:w="3251"/>
      </w:tblGrid>
      <w:tr w:rsidR="005928EF" w:rsidRPr="002C3113" w14:paraId="4E6E0ECA" w14:textId="77777777" w:rsidTr="00452275">
        <w:trPr>
          <w:trHeight w:hRule="exact" w:val="284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3F16B64" w14:textId="77777777" w:rsidR="007F6709" w:rsidRDefault="007F6709" w:rsidP="002C3113"/>
        </w:tc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FB1B46B" w14:textId="0B22EEAB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Monday </w:t>
            </w:r>
            <w:r w:rsidR="00A75613">
              <w:rPr>
                <w:rFonts w:ascii="Times New Roman" w:hAnsi="Times New Roman"/>
                <w:b/>
              </w:rPr>
              <w:t>9 November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F634595" w14:textId="0B9F4810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Tuesday </w:t>
            </w:r>
            <w:r w:rsidR="00A75613">
              <w:rPr>
                <w:rFonts w:ascii="Times New Roman" w:hAnsi="Times New Roman"/>
                <w:b/>
              </w:rPr>
              <w:t>10 November</w:t>
            </w:r>
          </w:p>
        </w:tc>
        <w:tc>
          <w:tcPr>
            <w:tcW w:w="2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E7167BA" w14:textId="6988557B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Wednesday </w:t>
            </w:r>
            <w:r w:rsidR="00A75613">
              <w:rPr>
                <w:rFonts w:ascii="Times New Roman" w:hAnsi="Times New Roman"/>
                <w:b/>
              </w:rPr>
              <w:t>11 November</w:t>
            </w:r>
          </w:p>
        </w:tc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FA53B7C" w14:textId="758975AF" w:rsidR="007F6709" w:rsidRPr="002C3113" w:rsidRDefault="00BD6158" w:rsidP="000C597F">
            <w:pPr>
              <w:tabs>
                <w:tab w:val="left" w:pos="14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Thursday </w:t>
            </w:r>
            <w:r w:rsidR="00A75613">
              <w:rPr>
                <w:rFonts w:ascii="Times New Roman" w:hAnsi="Times New Roman"/>
                <w:b/>
              </w:rPr>
              <w:t>12 November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0E7F9FC" w14:textId="680018D0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Friday </w:t>
            </w:r>
            <w:r w:rsidR="00A75613">
              <w:rPr>
                <w:rFonts w:ascii="Times New Roman" w:hAnsi="Times New Roman"/>
                <w:b/>
              </w:rPr>
              <w:t>13 November</w:t>
            </w:r>
          </w:p>
        </w:tc>
      </w:tr>
      <w:tr w:rsidR="009D364A" w:rsidRPr="002C3113" w14:paraId="4A619A53" w14:textId="77777777" w:rsidTr="00452275">
        <w:trPr>
          <w:trHeight w:val="1180"/>
          <w:jc w:val="center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6F3A37D7" w14:textId="77777777" w:rsidR="009D364A" w:rsidRPr="002C3113" w:rsidRDefault="009D364A" w:rsidP="002C3113">
            <w:pPr>
              <w:jc w:val="center"/>
              <w:rPr>
                <w:rFonts w:ascii="Times New Roman" w:hAnsi="Times New Roman"/>
                <w:b/>
              </w:rPr>
            </w:pPr>
            <w:r w:rsidRPr="002C3113">
              <w:rPr>
                <w:rFonts w:ascii="Times New Roman" w:hAnsi="Times New Roman"/>
                <w:b/>
              </w:rPr>
              <w:t>2</w:t>
            </w:r>
            <w:r w:rsidRPr="002C3113">
              <w:rPr>
                <w:rFonts w:ascii="Times New Roman" w:hAnsi="Times New Roman"/>
                <w:b/>
                <w:vertAlign w:val="superscript"/>
              </w:rPr>
              <w:t>nd</w:t>
            </w:r>
            <w:r w:rsidRPr="002C3113">
              <w:rPr>
                <w:rFonts w:ascii="Times New Roman" w:hAnsi="Times New Roman"/>
                <w:b/>
              </w:rPr>
              <w:t xml:space="preserve"> week</w:t>
            </w:r>
          </w:p>
        </w:tc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7D38DB" w14:textId="77777777" w:rsidR="009D364A" w:rsidRPr="002C3113" w:rsidRDefault="009D364A" w:rsidP="002C31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FAE5E1" w14:textId="46B4A71C" w:rsidR="009D364A" w:rsidRPr="004255F6" w:rsidRDefault="009D364A" w:rsidP="00005EE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0" w:history="1">
              <w:r w:rsidRPr="0054079F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Eswatini</w:t>
              </w:r>
            </w:hyperlink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51A4AE" w14:textId="77777777" w:rsidR="009D364A" w:rsidRPr="002C3113" w:rsidRDefault="009D364A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9:00–12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:30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278D0A" w14:textId="19253026" w:rsidR="009D364A" w:rsidRPr="00E46C76" w:rsidRDefault="009D364A" w:rsidP="00BC2A1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1" w:history="1">
              <w:r w:rsidRPr="0054079F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Thailand</w:t>
              </w:r>
            </w:hyperlink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5A8CC8" w14:textId="0BE4FBC4" w:rsidR="009D364A" w:rsidRPr="002C3113" w:rsidRDefault="009D364A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D78775" w14:textId="73D3BB2D" w:rsidR="009D364A" w:rsidRPr="004255F6" w:rsidRDefault="009D364A" w:rsidP="000E6F49">
            <w:pPr>
              <w:spacing w:before="24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747330" w14:textId="09951EB5" w:rsidR="009D364A" w:rsidRPr="00CC72AB" w:rsidRDefault="009D364A" w:rsidP="00EF71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C72AB">
              <w:rPr>
                <w:rFonts w:ascii="Times New Roman" w:hAnsi="Times New Roman"/>
                <w:bCs/>
                <w:sz w:val="18"/>
                <w:szCs w:val="18"/>
              </w:rPr>
              <w:t>12:30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973D08E" w14:textId="200A18AB" w:rsidR="009D364A" w:rsidRPr="004255F6" w:rsidRDefault="009D364A" w:rsidP="005A1AC0">
            <w:pPr>
              <w:spacing w:before="12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14A271" w14:textId="32D7368A" w:rsidR="009D364A" w:rsidRPr="000D2E93" w:rsidRDefault="009D364A" w:rsidP="00CC72A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E93">
              <w:rPr>
                <w:rFonts w:ascii="Times New Roman" w:hAnsi="Times New Roman"/>
                <w:bCs/>
                <w:sz w:val="18"/>
                <w:szCs w:val="18"/>
              </w:rPr>
              <w:t>12:30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1A88E22" w14:textId="726E3430" w:rsidR="009D364A" w:rsidRPr="00D75439" w:rsidRDefault="009D364A" w:rsidP="005611B9">
            <w:pPr>
              <w:spacing w:before="24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D364A" w:rsidRPr="002C3113" w14:paraId="4DC533AF" w14:textId="77777777" w:rsidTr="00452275">
        <w:trPr>
          <w:trHeight w:val="996"/>
          <w:jc w:val="center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12785C21" w14:textId="77777777" w:rsidR="009D364A" w:rsidRPr="002C3113" w:rsidRDefault="009D364A" w:rsidP="002C31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5" w:type="dxa"/>
            <w:vMerge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E731C54" w14:textId="77777777" w:rsidR="009D364A" w:rsidRPr="002C3113" w:rsidRDefault="009D364A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12A127" w14:textId="29ABD3B0" w:rsidR="009D364A" w:rsidRPr="00DC6F6C" w:rsidRDefault="009D364A" w:rsidP="00580C4A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05EEE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Papua New Guinea</w:t>
            </w:r>
          </w:p>
        </w:tc>
        <w:tc>
          <w:tcPr>
            <w:tcW w:w="719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BD1875" w14:textId="77777777" w:rsidR="009D364A" w:rsidRDefault="009D364A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5FF852" w14:textId="6590A47B" w:rsidR="009D364A" w:rsidRDefault="009D364A" w:rsidP="00580C4A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the United Republic of Tanzania</w:t>
            </w:r>
          </w:p>
        </w:tc>
        <w:tc>
          <w:tcPr>
            <w:tcW w:w="709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C66E5B" w14:textId="77777777" w:rsidR="009D364A" w:rsidRDefault="009D364A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84699A" w14:textId="64C3578E" w:rsidR="009D364A" w:rsidRPr="00E46C76" w:rsidRDefault="009D364A" w:rsidP="005A1AC0">
            <w:pPr>
              <w:spacing w:after="12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0D44343" w14:textId="77777777" w:rsidR="009D364A" w:rsidRPr="00DB7020" w:rsidRDefault="009D364A" w:rsidP="00EF71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A25472A" w14:textId="75F8BB76" w:rsidR="009D364A" w:rsidRPr="004255F6" w:rsidRDefault="009D364A" w:rsidP="005A1AC0">
            <w:pPr>
              <w:spacing w:before="120" w:after="12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Trinidad and Tobago</w:t>
            </w:r>
          </w:p>
        </w:tc>
        <w:tc>
          <w:tcPr>
            <w:tcW w:w="718" w:type="dxa"/>
            <w:vMerge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32810B2" w14:textId="77777777" w:rsidR="009D364A" w:rsidRDefault="009D364A" w:rsidP="002816D0">
            <w:pPr>
              <w:spacing w:before="7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31528A6" w14:textId="7BE48649" w:rsidR="009D364A" w:rsidRPr="004255F6" w:rsidRDefault="009D364A" w:rsidP="00D75439">
            <w:pPr>
              <w:spacing w:before="240" w:after="120"/>
              <w:jc w:val="center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>Distribution of the report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on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Ireland</w:t>
            </w:r>
          </w:p>
        </w:tc>
      </w:tr>
      <w:tr w:rsidR="00EB007B" w14:paraId="06E19540" w14:textId="77777777" w:rsidTr="00452275">
        <w:trPr>
          <w:trHeight w:val="1110"/>
          <w:jc w:val="center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7C270662" w14:textId="77777777" w:rsidR="00EB007B" w:rsidRPr="002C3113" w:rsidRDefault="00EB007B" w:rsidP="002C31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2CEB5F" w14:textId="77777777" w:rsidR="00EB007B" w:rsidRPr="002C3113" w:rsidRDefault="00EB007B" w:rsidP="00DC0E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E4219" w14:textId="15E9E67E" w:rsidR="00EB007B" w:rsidRPr="00E46C76" w:rsidRDefault="008213A3" w:rsidP="008213A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="007C2AA0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2" w:history="1">
              <w:r w:rsidR="00E46C76" w:rsidRPr="0054079F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Trinidad and Tobago</w:t>
              </w:r>
            </w:hyperlink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34AA7D5" w14:textId="77777777" w:rsidR="00EB007B" w:rsidRPr="002C3113" w:rsidRDefault="00EB007B" w:rsidP="00D9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:30–18:00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543B6" w14:textId="4FC71F27" w:rsidR="00EB007B" w:rsidRPr="002C3113" w:rsidRDefault="00EB007B" w:rsidP="0048533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>Review of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3" w:history="1">
              <w:r w:rsidR="00E46C76" w:rsidRPr="0054079F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Ireland</w:t>
              </w:r>
            </w:hyperlink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D372D5" w14:textId="249B7122" w:rsidR="00EB007B" w:rsidRPr="002C3113" w:rsidRDefault="00EB007B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18:00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E94DC9" w14:textId="26DBA057" w:rsidR="00EB007B" w:rsidRPr="00EB007B" w:rsidRDefault="00EB007B" w:rsidP="002E5271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5A1454" w14:textId="62953BBC" w:rsidR="00EB007B" w:rsidRPr="00F6284C" w:rsidRDefault="00EB007B" w:rsidP="006553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CA9B2E" w14:textId="61E05763" w:rsidR="00EB007B" w:rsidRPr="004255F6" w:rsidRDefault="00EB007B" w:rsidP="002E52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B0042F" w14:textId="77777777" w:rsidR="00EB007B" w:rsidRPr="002C3113" w:rsidRDefault="00EB007B" w:rsidP="006D4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16:00–18:0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9D5C0F" w14:textId="3A556B74" w:rsidR="00EB007B" w:rsidRPr="00BB1834" w:rsidRDefault="00EB007B" w:rsidP="00CC0983">
            <w:pPr>
              <w:spacing w:after="0"/>
              <w:jc w:val="center"/>
              <w:rPr>
                <w:sz w:val="20"/>
                <w:szCs w:val="20"/>
              </w:rPr>
            </w:pPr>
            <w:r w:rsidRPr="00BB1834">
              <w:rPr>
                <w:rFonts w:ascii="Times New Roman" w:hAnsi="Times New Roman"/>
                <w:b/>
                <w:color w:val="161BF6"/>
                <w:sz w:val="20"/>
                <w:szCs w:val="20"/>
              </w:rPr>
              <w:t xml:space="preserve">Adoption of the reports on </w:t>
            </w:r>
            <w:r w:rsidR="00E46C76">
              <w:rPr>
                <w:rFonts w:ascii="Times New Roman" w:hAnsi="Times New Roman"/>
                <w:b/>
                <w:color w:val="161BF6"/>
                <w:sz w:val="20"/>
                <w:szCs w:val="20"/>
              </w:rPr>
              <w:t>Suriname, Greece, Samoa, Saint Vincent and the Grenadines, Hungary, Papua New Guinea, Tajikistan, United Republic of Tanzania, Antigua and Barbuda, Eswatini, Trinidad and Tobago, Thailand</w:t>
            </w:r>
            <w:r w:rsidR="0054079F">
              <w:rPr>
                <w:rFonts w:ascii="Times New Roman" w:hAnsi="Times New Roman"/>
                <w:b/>
                <w:color w:val="161BF6"/>
                <w:sz w:val="20"/>
                <w:szCs w:val="20"/>
              </w:rPr>
              <w:t xml:space="preserve"> and</w:t>
            </w:r>
            <w:r w:rsidR="00E46C76">
              <w:rPr>
                <w:rFonts w:ascii="Times New Roman" w:hAnsi="Times New Roman"/>
                <w:b/>
                <w:color w:val="161BF6"/>
                <w:sz w:val="20"/>
                <w:szCs w:val="20"/>
              </w:rPr>
              <w:t xml:space="preserve"> Ireland</w:t>
            </w:r>
          </w:p>
        </w:tc>
      </w:tr>
      <w:tr w:rsidR="00EB007B" w14:paraId="172F03E1" w14:textId="77777777" w:rsidTr="00452275">
        <w:trPr>
          <w:trHeight w:val="933"/>
          <w:jc w:val="center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</w:tcPr>
          <w:p w14:paraId="7B84759D" w14:textId="77777777" w:rsidR="00EB007B" w:rsidRPr="002C3113" w:rsidRDefault="00EB007B" w:rsidP="002C31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A0F85B" w14:textId="77777777" w:rsidR="00EB007B" w:rsidRPr="002C3113" w:rsidRDefault="00EB007B" w:rsidP="00DC0E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647952" w14:textId="1D7435B2" w:rsidR="00EB007B" w:rsidRPr="002C3113" w:rsidRDefault="00005EEE" w:rsidP="00CC72AB">
            <w:pPr>
              <w:spacing w:before="24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5EEE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E46C76">
              <w:rPr>
                <w:rFonts w:ascii="Times New Roman" w:hAnsi="Times New Roman"/>
                <w:i/>
                <w:sz w:val="18"/>
                <w:szCs w:val="18"/>
              </w:rPr>
              <w:t>Tajikistan</w:t>
            </w:r>
          </w:p>
        </w:tc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68F3CD2" w14:textId="77777777" w:rsidR="00EB007B" w:rsidRDefault="00EB007B" w:rsidP="00D9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1D0BD9" w14:textId="7B37C55E" w:rsidR="00EB007B" w:rsidRPr="002C3113" w:rsidRDefault="00485335" w:rsidP="00F5283C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</w:t>
            </w:r>
            <w:r w:rsidR="00E46C76">
              <w:rPr>
                <w:rFonts w:ascii="Times New Roman" w:hAnsi="Times New Roman"/>
                <w:i/>
                <w:sz w:val="18"/>
                <w:szCs w:val="18"/>
              </w:rPr>
              <w:t xml:space="preserve">on Antigua and </w:t>
            </w:r>
            <w:r w:rsidR="0070467F">
              <w:rPr>
                <w:rFonts w:ascii="Times New Roman" w:hAnsi="Times New Roman"/>
                <w:i/>
                <w:sz w:val="18"/>
                <w:szCs w:val="18"/>
              </w:rPr>
              <w:t>Barbuda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5C4937" w14:textId="77777777" w:rsidR="00EB007B" w:rsidRPr="002C3113" w:rsidRDefault="00EB007B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71A477" w14:textId="2317F239" w:rsidR="00EB007B" w:rsidRPr="00485335" w:rsidRDefault="00E46C76" w:rsidP="002E5271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Distribution of the report on Eswatini</w:t>
            </w:r>
          </w:p>
        </w:tc>
        <w:tc>
          <w:tcPr>
            <w:tcW w:w="69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2BF28C5" w14:textId="77777777" w:rsidR="00EB007B" w:rsidRPr="00F6284C" w:rsidRDefault="00EB007B" w:rsidP="006553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8BE89B" w14:textId="3DF904DA" w:rsidR="00EB007B" w:rsidRPr="00485335" w:rsidRDefault="00EB007B" w:rsidP="002E5271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E46C76">
              <w:rPr>
                <w:rFonts w:ascii="Times New Roman" w:hAnsi="Times New Roman"/>
                <w:i/>
                <w:sz w:val="18"/>
                <w:szCs w:val="18"/>
              </w:rPr>
              <w:t>Thailand</w:t>
            </w:r>
          </w:p>
        </w:tc>
        <w:tc>
          <w:tcPr>
            <w:tcW w:w="7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675063" w14:textId="77777777" w:rsidR="00EB007B" w:rsidRDefault="00EB007B" w:rsidP="006D4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83A3C8" w14:textId="77777777" w:rsidR="00EB007B" w:rsidRPr="00AE3F0D" w:rsidRDefault="00EB007B" w:rsidP="00CC0983">
            <w:pPr>
              <w:spacing w:after="0"/>
              <w:jc w:val="center"/>
              <w:rPr>
                <w:rFonts w:ascii="Times New Roman" w:hAnsi="Times New Roman"/>
                <w:b/>
                <w:color w:val="161BF6"/>
                <w:sz w:val="18"/>
                <w:szCs w:val="18"/>
              </w:rPr>
            </w:pPr>
          </w:p>
        </w:tc>
      </w:tr>
    </w:tbl>
    <w:p w14:paraId="0FD9FEC1" w14:textId="77777777" w:rsidR="007F6709" w:rsidRPr="004F0F50" w:rsidRDefault="007F6709" w:rsidP="005675C7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iCs/>
          <w:sz w:val="16"/>
          <w:szCs w:val="16"/>
          <w:lang w:val="en-US" w:eastAsia="zh-CN"/>
        </w:rPr>
      </w:pPr>
    </w:p>
    <w:sectPr w:rsidR="007F6709" w:rsidRPr="004F0F50" w:rsidSect="00CD0D48">
      <w:pgSz w:w="16838" w:h="11906" w:orient="landscape" w:code="9"/>
      <w:pgMar w:top="567" w:right="284" w:bottom="567" w:left="28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317F9" w14:textId="77777777" w:rsidR="00AE2B2F" w:rsidRDefault="00AE2B2F" w:rsidP="00CF0137">
      <w:pPr>
        <w:spacing w:after="0" w:line="240" w:lineRule="auto"/>
      </w:pPr>
      <w:r>
        <w:separator/>
      </w:r>
    </w:p>
  </w:endnote>
  <w:endnote w:type="continuationSeparator" w:id="0">
    <w:p w14:paraId="74176D64" w14:textId="77777777" w:rsidR="00AE2B2F" w:rsidRDefault="00AE2B2F" w:rsidP="00CF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8403" w14:textId="77777777" w:rsidR="00AE2B2F" w:rsidRDefault="00AE2B2F" w:rsidP="00CF0137">
      <w:pPr>
        <w:spacing w:after="0" w:line="240" w:lineRule="auto"/>
      </w:pPr>
      <w:r>
        <w:separator/>
      </w:r>
    </w:p>
  </w:footnote>
  <w:footnote w:type="continuationSeparator" w:id="0">
    <w:p w14:paraId="45680D00" w14:textId="77777777" w:rsidR="00AE2B2F" w:rsidRDefault="00AE2B2F" w:rsidP="00CF0137">
      <w:pPr>
        <w:spacing w:after="0" w:line="240" w:lineRule="auto"/>
      </w:pPr>
      <w:r>
        <w:continuationSeparator/>
      </w:r>
    </w:p>
  </w:footnote>
  <w:footnote w:id="1">
    <w:p w14:paraId="28C03FFE" w14:textId="61F0CF54" w:rsidR="00CF0137" w:rsidRPr="000A2B1F" w:rsidRDefault="00CF0137" w:rsidP="000A2B1F">
      <w:pPr>
        <w:pStyle w:val="FootnoteText"/>
        <w:rPr>
          <w:rFonts w:asciiTheme="majorBidi" w:hAnsiTheme="majorBidi" w:cstheme="majorBidi"/>
          <w:sz w:val="18"/>
          <w:szCs w:val="18"/>
          <w:lang w:val="en-US"/>
        </w:rPr>
      </w:pPr>
      <w:r>
        <w:rPr>
          <w:rStyle w:val="FootnoteReference"/>
        </w:rPr>
        <w:tab/>
      </w:r>
      <w:r w:rsidRPr="00CF0137">
        <w:rPr>
          <w:rStyle w:val="FootnoteReference"/>
          <w:vertAlign w:val="baseline"/>
        </w:rPr>
        <w:t>*</w:t>
      </w:r>
      <w:r>
        <w:rPr>
          <w:rStyle w:val="FootnoteReference"/>
          <w:vertAlign w:val="baseline"/>
        </w:rPr>
        <w:tab/>
      </w:r>
      <w:r w:rsidR="000A2B1F" w:rsidRPr="000A2B1F">
        <w:rPr>
          <w:rFonts w:asciiTheme="majorBidi" w:hAnsiTheme="majorBidi" w:cstheme="majorBidi"/>
          <w:sz w:val="18"/>
          <w:szCs w:val="18"/>
          <w:lang w:val="en-CH"/>
        </w:rPr>
        <w:t>Pending continuation of cash conservation measures requested by UNOG and based on decision adopted by the Human Rights Council on 2 June 2025.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50"/>
    <w:rsid w:val="00005EEE"/>
    <w:rsid w:val="0000723F"/>
    <w:rsid w:val="00010228"/>
    <w:rsid w:val="00010766"/>
    <w:rsid w:val="00020D0E"/>
    <w:rsid w:val="00021357"/>
    <w:rsid w:val="00052F23"/>
    <w:rsid w:val="00055508"/>
    <w:rsid w:val="000963AD"/>
    <w:rsid w:val="000A2B1F"/>
    <w:rsid w:val="000B5A2F"/>
    <w:rsid w:val="000B7EE9"/>
    <w:rsid w:val="000C2F0E"/>
    <w:rsid w:val="000C597F"/>
    <w:rsid w:val="000D2C63"/>
    <w:rsid w:val="000D2E93"/>
    <w:rsid w:val="000E4654"/>
    <w:rsid w:val="000E4D88"/>
    <w:rsid w:val="000E6F49"/>
    <w:rsid w:val="000F5427"/>
    <w:rsid w:val="00113527"/>
    <w:rsid w:val="00117B45"/>
    <w:rsid w:val="001516E3"/>
    <w:rsid w:val="00155060"/>
    <w:rsid w:val="001B3E7F"/>
    <w:rsid w:val="001B77AE"/>
    <w:rsid w:val="001C0265"/>
    <w:rsid w:val="001C4312"/>
    <w:rsid w:val="001F2F9D"/>
    <w:rsid w:val="001F431C"/>
    <w:rsid w:val="00203D9D"/>
    <w:rsid w:val="0021784D"/>
    <w:rsid w:val="00245BC0"/>
    <w:rsid w:val="00262B4B"/>
    <w:rsid w:val="00264718"/>
    <w:rsid w:val="002816D0"/>
    <w:rsid w:val="002970D0"/>
    <w:rsid w:val="002C3113"/>
    <w:rsid w:val="002D1058"/>
    <w:rsid w:val="002E5271"/>
    <w:rsid w:val="002F4F5D"/>
    <w:rsid w:val="00306B07"/>
    <w:rsid w:val="003472A0"/>
    <w:rsid w:val="003528A0"/>
    <w:rsid w:val="00354E74"/>
    <w:rsid w:val="00361E97"/>
    <w:rsid w:val="0037708D"/>
    <w:rsid w:val="003861E0"/>
    <w:rsid w:val="00386663"/>
    <w:rsid w:val="00391E73"/>
    <w:rsid w:val="003D6972"/>
    <w:rsid w:val="003E030E"/>
    <w:rsid w:val="003E0991"/>
    <w:rsid w:val="003E7872"/>
    <w:rsid w:val="003F0CDE"/>
    <w:rsid w:val="003F50E7"/>
    <w:rsid w:val="003F6875"/>
    <w:rsid w:val="004255F6"/>
    <w:rsid w:val="00427A8F"/>
    <w:rsid w:val="00427BD0"/>
    <w:rsid w:val="00430142"/>
    <w:rsid w:val="0043726F"/>
    <w:rsid w:val="00441F02"/>
    <w:rsid w:val="004468BE"/>
    <w:rsid w:val="00452275"/>
    <w:rsid w:val="00461817"/>
    <w:rsid w:val="0047239F"/>
    <w:rsid w:val="004732E7"/>
    <w:rsid w:val="00480118"/>
    <w:rsid w:val="00485335"/>
    <w:rsid w:val="00496C58"/>
    <w:rsid w:val="004A7E4C"/>
    <w:rsid w:val="004C3F21"/>
    <w:rsid w:val="004C3F71"/>
    <w:rsid w:val="004C4B3C"/>
    <w:rsid w:val="004D44F9"/>
    <w:rsid w:val="004F0F50"/>
    <w:rsid w:val="004F5011"/>
    <w:rsid w:val="0050601E"/>
    <w:rsid w:val="0050642E"/>
    <w:rsid w:val="00521D24"/>
    <w:rsid w:val="005303CE"/>
    <w:rsid w:val="00534EC1"/>
    <w:rsid w:val="0054079F"/>
    <w:rsid w:val="005556F0"/>
    <w:rsid w:val="005576CE"/>
    <w:rsid w:val="005611B9"/>
    <w:rsid w:val="005675C7"/>
    <w:rsid w:val="005707D3"/>
    <w:rsid w:val="005727FC"/>
    <w:rsid w:val="0057548A"/>
    <w:rsid w:val="00580C4A"/>
    <w:rsid w:val="005928EF"/>
    <w:rsid w:val="005A1AC0"/>
    <w:rsid w:val="005A7110"/>
    <w:rsid w:val="005D0D84"/>
    <w:rsid w:val="005F2BAB"/>
    <w:rsid w:val="006077D0"/>
    <w:rsid w:val="00611B28"/>
    <w:rsid w:val="00614C8F"/>
    <w:rsid w:val="00616F5E"/>
    <w:rsid w:val="00623B08"/>
    <w:rsid w:val="00623CF0"/>
    <w:rsid w:val="006417E8"/>
    <w:rsid w:val="00641896"/>
    <w:rsid w:val="0065087F"/>
    <w:rsid w:val="006518A7"/>
    <w:rsid w:val="00654F22"/>
    <w:rsid w:val="006553B9"/>
    <w:rsid w:val="00664528"/>
    <w:rsid w:val="006647DB"/>
    <w:rsid w:val="00667BB8"/>
    <w:rsid w:val="00680054"/>
    <w:rsid w:val="006A02FA"/>
    <w:rsid w:val="006C22CC"/>
    <w:rsid w:val="006D0C63"/>
    <w:rsid w:val="006D426A"/>
    <w:rsid w:val="006D572C"/>
    <w:rsid w:val="006D7430"/>
    <w:rsid w:val="006D74EE"/>
    <w:rsid w:val="006E2454"/>
    <w:rsid w:val="006E7073"/>
    <w:rsid w:val="006F16A7"/>
    <w:rsid w:val="006F2517"/>
    <w:rsid w:val="006F266F"/>
    <w:rsid w:val="0070467F"/>
    <w:rsid w:val="00723224"/>
    <w:rsid w:val="00740A72"/>
    <w:rsid w:val="00756FCD"/>
    <w:rsid w:val="00757BD4"/>
    <w:rsid w:val="00760962"/>
    <w:rsid w:val="00762F96"/>
    <w:rsid w:val="007815AD"/>
    <w:rsid w:val="00782FA9"/>
    <w:rsid w:val="00785A90"/>
    <w:rsid w:val="00785CED"/>
    <w:rsid w:val="00793E22"/>
    <w:rsid w:val="007A1623"/>
    <w:rsid w:val="007A540C"/>
    <w:rsid w:val="007B4F3F"/>
    <w:rsid w:val="007C028E"/>
    <w:rsid w:val="007C2AA0"/>
    <w:rsid w:val="007C408D"/>
    <w:rsid w:val="007F17D5"/>
    <w:rsid w:val="007F284B"/>
    <w:rsid w:val="007F6709"/>
    <w:rsid w:val="00800850"/>
    <w:rsid w:val="008213A3"/>
    <w:rsid w:val="008331AC"/>
    <w:rsid w:val="00843107"/>
    <w:rsid w:val="00845203"/>
    <w:rsid w:val="00873837"/>
    <w:rsid w:val="00877E65"/>
    <w:rsid w:val="00883AC7"/>
    <w:rsid w:val="008843AB"/>
    <w:rsid w:val="008A74AD"/>
    <w:rsid w:val="008B3164"/>
    <w:rsid w:val="008B323D"/>
    <w:rsid w:val="008B7F3A"/>
    <w:rsid w:val="008D3051"/>
    <w:rsid w:val="008D360C"/>
    <w:rsid w:val="008D7D06"/>
    <w:rsid w:val="008E3F64"/>
    <w:rsid w:val="008F45CA"/>
    <w:rsid w:val="008F5AED"/>
    <w:rsid w:val="008F7002"/>
    <w:rsid w:val="00906803"/>
    <w:rsid w:val="0091615F"/>
    <w:rsid w:val="00917399"/>
    <w:rsid w:val="00921906"/>
    <w:rsid w:val="0093344E"/>
    <w:rsid w:val="009711EC"/>
    <w:rsid w:val="00972D3D"/>
    <w:rsid w:val="009B5085"/>
    <w:rsid w:val="009B717A"/>
    <w:rsid w:val="009C6FD3"/>
    <w:rsid w:val="009C79DA"/>
    <w:rsid w:val="009D0835"/>
    <w:rsid w:val="009D364A"/>
    <w:rsid w:val="009E29DD"/>
    <w:rsid w:val="009E70AF"/>
    <w:rsid w:val="009F4A13"/>
    <w:rsid w:val="009F5B94"/>
    <w:rsid w:val="00A27AE2"/>
    <w:rsid w:val="00A45061"/>
    <w:rsid w:val="00A66C98"/>
    <w:rsid w:val="00A75613"/>
    <w:rsid w:val="00A87686"/>
    <w:rsid w:val="00A87FDD"/>
    <w:rsid w:val="00AA14E7"/>
    <w:rsid w:val="00AA1711"/>
    <w:rsid w:val="00AA2525"/>
    <w:rsid w:val="00AA45C3"/>
    <w:rsid w:val="00AA63F8"/>
    <w:rsid w:val="00AE2B2F"/>
    <w:rsid w:val="00AE3F0D"/>
    <w:rsid w:val="00AE6AD1"/>
    <w:rsid w:val="00B0133F"/>
    <w:rsid w:val="00B2343A"/>
    <w:rsid w:val="00B251F9"/>
    <w:rsid w:val="00B34F12"/>
    <w:rsid w:val="00B40C28"/>
    <w:rsid w:val="00B54449"/>
    <w:rsid w:val="00B57040"/>
    <w:rsid w:val="00B6497F"/>
    <w:rsid w:val="00B801CE"/>
    <w:rsid w:val="00B81351"/>
    <w:rsid w:val="00B8244C"/>
    <w:rsid w:val="00B905B3"/>
    <w:rsid w:val="00BA0B19"/>
    <w:rsid w:val="00BB1834"/>
    <w:rsid w:val="00BC086C"/>
    <w:rsid w:val="00BC2A17"/>
    <w:rsid w:val="00BC6767"/>
    <w:rsid w:val="00BD3F7A"/>
    <w:rsid w:val="00BD6158"/>
    <w:rsid w:val="00BF2AF6"/>
    <w:rsid w:val="00BF423E"/>
    <w:rsid w:val="00C03BA0"/>
    <w:rsid w:val="00C21DD1"/>
    <w:rsid w:val="00C420FC"/>
    <w:rsid w:val="00C47909"/>
    <w:rsid w:val="00C513E4"/>
    <w:rsid w:val="00C5736D"/>
    <w:rsid w:val="00C73D49"/>
    <w:rsid w:val="00C77C30"/>
    <w:rsid w:val="00C81423"/>
    <w:rsid w:val="00C81E98"/>
    <w:rsid w:val="00C81F05"/>
    <w:rsid w:val="00C90878"/>
    <w:rsid w:val="00CA1C5C"/>
    <w:rsid w:val="00CA4F5F"/>
    <w:rsid w:val="00CB4B09"/>
    <w:rsid w:val="00CB6E72"/>
    <w:rsid w:val="00CB73E7"/>
    <w:rsid w:val="00CC0983"/>
    <w:rsid w:val="00CC72AB"/>
    <w:rsid w:val="00CD0D48"/>
    <w:rsid w:val="00CE0E6F"/>
    <w:rsid w:val="00CF0137"/>
    <w:rsid w:val="00D32F2C"/>
    <w:rsid w:val="00D378BF"/>
    <w:rsid w:val="00D4521E"/>
    <w:rsid w:val="00D64A0C"/>
    <w:rsid w:val="00D74270"/>
    <w:rsid w:val="00D75439"/>
    <w:rsid w:val="00D80424"/>
    <w:rsid w:val="00D8294E"/>
    <w:rsid w:val="00D84C4F"/>
    <w:rsid w:val="00D90111"/>
    <w:rsid w:val="00D97524"/>
    <w:rsid w:val="00DA1BCE"/>
    <w:rsid w:val="00DB7020"/>
    <w:rsid w:val="00DB7C4A"/>
    <w:rsid w:val="00DC0ECB"/>
    <w:rsid w:val="00DC6F6C"/>
    <w:rsid w:val="00DD31CD"/>
    <w:rsid w:val="00DE56B2"/>
    <w:rsid w:val="00DF208F"/>
    <w:rsid w:val="00DF7D9A"/>
    <w:rsid w:val="00E01744"/>
    <w:rsid w:val="00E0359A"/>
    <w:rsid w:val="00E20995"/>
    <w:rsid w:val="00E27109"/>
    <w:rsid w:val="00E31631"/>
    <w:rsid w:val="00E46C76"/>
    <w:rsid w:val="00E51796"/>
    <w:rsid w:val="00E52C97"/>
    <w:rsid w:val="00E5584C"/>
    <w:rsid w:val="00EA0531"/>
    <w:rsid w:val="00EA1B78"/>
    <w:rsid w:val="00EB007B"/>
    <w:rsid w:val="00EB4526"/>
    <w:rsid w:val="00ED0BF5"/>
    <w:rsid w:val="00ED44DD"/>
    <w:rsid w:val="00EF082B"/>
    <w:rsid w:val="00EF712C"/>
    <w:rsid w:val="00F06C52"/>
    <w:rsid w:val="00F1126E"/>
    <w:rsid w:val="00F11372"/>
    <w:rsid w:val="00F13CBA"/>
    <w:rsid w:val="00F257C3"/>
    <w:rsid w:val="00F33CA3"/>
    <w:rsid w:val="00F407A6"/>
    <w:rsid w:val="00F46121"/>
    <w:rsid w:val="00F5283C"/>
    <w:rsid w:val="00F62020"/>
    <w:rsid w:val="00F6284C"/>
    <w:rsid w:val="00F66664"/>
    <w:rsid w:val="00F670F5"/>
    <w:rsid w:val="00F86F11"/>
    <w:rsid w:val="00F94A3C"/>
    <w:rsid w:val="00FA017A"/>
    <w:rsid w:val="00FA4579"/>
    <w:rsid w:val="00FB1321"/>
    <w:rsid w:val="00FC165C"/>
    <w:rsid w:val="00FD6208"/>
    <w:rsid w:val="00FE2331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4E3CA"/>
  <w15:docId w15:val="{15AC91CE-070B-4420-A737-DABE087F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28E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528A0"/>
    <w:rPr>
      <w:sz w:val="22"/>
      <w:szCs w:val="22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7C408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01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0137"/>
    <w:rPr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F013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B0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07B"/>
    <w:rPr>
      <w:sz w:val="22"/>
      <w:szCs w:val="22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EB0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07B"/>
    <w:rPr>
      <w:sz w:val="22"/>
      <w:szCs w:val="22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A1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hchr.org/en/hr-bodies/upr/hu-index" TargetMode="External"/><Relationship Id="rId18" Type="http://schemas.openxmlformats.org/officeDocument/2006/relationships/hyperlink" Target="https://www.ohchr.org/en/hr-bodies/upr/pg-inde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hchr.org/en/hr-bodies/upr/th-inde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ohchr.org/en/hr-bodies/upr/ws-index" TargetMode="External"/><Relationship Id="rId17" Type="http://schemas.openxmlformats.org/officeDocument/2006/relationships/hyperlink" Target="https://www.ohchr.org/en/hr-bodies/upr/vc-inde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hchr.org/en/hr-bodies/upr/gr-index" TargetMode="External"/><Relationship Id="rId20" Type="http://schemas.openxmlformats.org/officeDocument/2006/relationships/hyperlink" Target="https://www.ohchr.org/en/hr-bodies/upr/sz-inde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hchr.org/en/hr-bodies/upr/sr-index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ohchr.org/en/hr-bodies/upr/ag-index" TargetMode="External"/><Relationship Id="rId23" Type="http://schemas.openxmlformats.org/officeDocument/2006/relationships/hyperlink" Target="https://www.ohchr.org/en/hr-bodies/upr/ie-inde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ohchr.org/en/hr-bodies/upr/tz-inde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hchr.org/en/hr-bodies/upr/tj-index" TargetMode="External"/><Relationship Id="rId22" Type="http://schemas.openxmlformats.org/officeDocument/2006/relationships/hyperlink" Target="https://www.ohchr.org/en/hr-bodies/upr/tt-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ee3d2197-3b89-4221-87a0-d98aa6f3f081">53</Order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BA7906C1B414FA1B88DED03AEFE70" ma:contentTypeVersion="1" ma:contentTypeDescription="Create a new document." ma:contentTypeScope="" ma:versionID="431598571a3195197ab4d9ba4c282b03">
  <xsd:schema xmlns:xsd="http://www.w3.org/2001/XMLSchema" xmlns:xs="http://www.w3.org/2001/XMLSchema" xmlns:p="http://schemas.microsoft.com/office/2006/metadata/properties" xmlns:ns2="ee3d2197-3b89-4221-87a0-d98aa6f3f081" targetNamespace="http://schemas.microsoft.com/office/2006/metadata/properties" ma:root="true" ma:fieldsID="8aaf16819f9425ac20a24d7dfacd8836" ns2:_="">
    <xsd:import namespace="ee3d2197-3b89-4221-87a0-d98aa6f3f081"/>
    <xsd:element name="properties">
      <xsd:complexType>
        <xsd:sequence>
          <xsd:element name="documentManagement">
            <xsd:complexType>
              <xsd:all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2197-3b89-4221-87a0-d98aa6f3f081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decimals="0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5103D-DD24-411D-8497-35CF15809C8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EC1A15D-3210-445E-A8A7-5E35C977ECE3}">
  <ds:schemaRefs>
    <ds:schemaRef ds:uri="http://schemas.microsoft.com/office/2006/metadata/properties"/>
    <ds:schemaRef ds:uri="http://schemas.microsoft.com/office/infopath/2007/PartnerControls"/>
    <ds:schemaRef ds:uri="738135cc-ffba-4aa6-b6ff-6bcd678e64f8"/>
    <ds:schemaRef ds:uri="1cc5c2d4-3a9a-4df6-8e99-fae67f903462"/>
  </ds:schemaRefs>
</ds:datastoreItem>
</file>

<file path=customXml/itemProps3.xml><?xml version="1.0" encoding="utf-8"?>
<ds:datastoreItem xmlns:ds="http://schemas.openxmlformats.org/officeDocument/2006/customXml" ds:itemID="{6CE41014-6989-46EF-9432-9209E4E42F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C53879-4EF6-4091-A685-9BFEB7F2AF2A}"/>
</file>

<file path=customXml/itemProps5.xml><?xml version="1.0" encoding="utf-8"?>
<ds:datastoreItem xmlns:ds="http://schemas.openxmlformats.org/officeDocument/2006/customXml" ds:itemID="{F3FB4120-ED1E-4115-B9DB-C4915719E2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53 rd session</dc:title>
  <dc:creator>Sumiko IHARA</dc:creator>
  <cp:lastModifiedBy>Sumiko Ihara</cp:lastModifiedBy>
  <cp:revision>2</cp:revision>
  <cp:lastPrinted>2025-09-26T11:52:00Z</cp:lastPrinted>
  <dcterms:created xsi:type="dcterms:W3CDTF">2025-10-10T07:42:00Z</dcterms:created>
  <dcterms:modified xsi:type="dcterms:W3CDTF">2025-10-10T07:42:00Z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ContentTypeId">
    <vt:lpwstr>0x010100936BA7906C1B414FA1B88DED03AEFE70</vt:lpwstr>
  </property>
  <property fmtid="{D5CDD505-2E9C-101B-9397-08002B2CF9AE}" pid="9" name="MediaServiceImageTags">
    <vt:lpwstr/>
  </property>
</Properties>
</file>